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48" w:rsidRPr="00C52380" w:rsidRDefault="00C52380" w:rsidP="00C52380">
      <w:pPr>
        <w:pStyle w:val="PolicyTitleHeading"/>
        <w:tabs>
          <w:tab w:val="num" w:pos="720"/>
        </w:tabs>
        <w:ind w:left="720" w:hanging="720"/>
        <w:rPr>
          <w:snapToGrid/>
        </w:rPr>
      </w:pPr>
      <w:r>
        <w:rPr>
          <w:snapToGrid/>
        </w:rPr>
        <w:t>1.8</w:t>
      </w:r>
      <w:r>
        <w:rPr>
          <w:snapToGrid/>
        </w:rPr>
        <w:tab/>
      </w:r>
      <w:r w:rsidRPr="00C52380">
        <w:rPr>
          <w:snapToGrid/>
        </w:rPr>
        <w:t>Location of Council Meetings</w:t>
      </w:r>
    </w:p>
    <w:p w:rsidR="00354F57" w:rsidRPr="00D454B1" w:rsidRDefault="00234C51" w:rsidP="00D454B1">
      <w:pPr>
        <w:pStyle w:val="ShireHeading2"/>
      </w:pPr>
      <w:r>
        <w:t>Objective</w:t>
      </w:r>
    </w:p>
    <w:p w:rsidR="00234C51" w:rsidRPr="00234C51" w:rsidRDefault="00234C51" w:rsidP="00234C51">
      <w:pPr>
        <w:spacing w:before="192" w:after="0" w:line="240" w:lineRule="auto"/>
        <w:jc w:val="both"/>
        <w:rPr>
          <w:sz w:val="24"/>
          <w:szCs w:val="24"/>
        </w:rPr>
      </w:pPr>
      <w:r w:rsidRPr="00234C51">
        <w:rPr>
          <w:sz w:val="24"/>
          <w:szCs w:val="24"/>
        </w:rPr>
        <w:t>To maximi</w:t>
      </w:r>
      <w:r>
        <w:rPr>
          <w:sz w:val="24"/>
          <w:szCs w:val="24"/>
        </w:rPr>
        <w:t>z</w:t>
      </w:r>
      <w:r w:rsidRPr="00234C51">
        <w:rPr>
          <w:sz w:val="24"/>
          <w:szCs w:val="24"/>
        </w:rPr>
        <w:t>e the use of competitive locally based businesses in the provision of goods or services purchased or contracted by the Shire of East Pilbara.</w:t>
      </w:r>
    </w:p>
    <w:p w:rsidR="00234C51" w:rsidRPr="00234C51" w:rsidRDefault="00234C51" w:rsidP="00234C51">
      <w:pPr>
        <w:pStyle w:val="ShireHeading2"/>
      </w:pPr>
      <w:r w:rsidRPr="00234C51">
        <w:t>Policy</w:t>
      </w:r>
    </w:p>
    <w:p w:rsidR="00234C51" w:rsidRPr="00234C51" w:rsidRDefault="00234C51" w:rsidP="00234C51">
      <w:pPr>
        <w:spacing w:before="192" w:after="0" w:line="240" w:lineRule="auto"/>
        <w:jc w:val="both"/>
        <w:rPr>
          <w:sz w:val="24"/>
          <w:szCs w:val="24"/>
        </w:rPr>
      </w:pPr>
      <w:r w:rsidRPr="00234C51">
        <w:rPr>
          <w:sz w:val="24"/>
          <w:szCs w:val="24"/>
        </w:rPr>
        <w:t>For the purposes of this policy, a regionally based business is to have office and/or workshop premises (</w:t>
      </w:r>
      <w:r w:rsidRPr="00234C51">
        <w:rPr>
          <w:i/>
          <w:sz w:val="24"/>
          <w:szCs w:val="24"/>
        </w:rPr>
        <w:t>LIA</w:t>
      </w:r>
      <w:r w:rsidRPr="00234C51">
        <w:rPr>
          <w:sz w:val="24"/>
          <w:szCs w:val="24"/>
        </w:rPr>
        <w:t xml:space="preserve"> or </w:t>
      </w:r>
      <w:r w:rsidRPr="00234C51">
        <w:rPr>
          <w:i/>
          <w:sz w:val="24"/>
          <w:szCs w:val="24"/>
        </w:rPr>
        <w:t>Shop Front</w:t>
      </w:r>
      <w:r w:rsidRPr="00234C51">
        <w:rPr>
          <w:sz w:val="24"/>
          <w:szCs w:val="24"/>
        </w:rPr>
        <w:t>) and/or staff housed (</w:t>
      </w:r>
      <w:r w:rsidRPr="00234C51">
        <w:rPr>
          <w:i/>
          <w:sz w:val="24"/>
          <w:szCs w:val="24"/>
        </w:rPr>
        <w:t>Residentially not in a Camp</w:t>
      </w:r>
      <w:r w:rsidRPr="00234C51">
        <w:rPr>
          <w:sz w:val="24"/>
          <w:szCs w:val="24"/>
        </w:rPr>
        <w:t>) located within the district of the Shire of East Pilbara.</w:t>
      </w:r>
    </w:p>
    <w:p w:rsidR="00234C51" w:rsidRPr="00234C51" w:rsidRDefault="00234C51" w:rsidP="00234C51">
      <w:pPr>
        <w:spacing w:before="192" w:after="0" w:line="240" w:lineRule="auto"/>
        <w:jc w:val="both"/>
        <w:rPr>
          <w:sz w:val="24"/>
          <w:szCs w:val="24"/>
        </w:rPr>
      </w:pPr>
      <w:r w:rsidRPr="00234C51">
        <w:rPr>
          <w:sz w:val="24"/>
          <w:szCs w:val="24"/>
        </w:rPr>
        <w:t>A regional price preference will apply to all Request for Tenders (RFT) and formal Request for Quotations (RFQ) invited by the Shire of East Pilbara for the supply of goods and services and/or construction (building) services, unless Council resolves that this policy will not apply to a particular RFT or RFQ.</w:t>
      </w:r>
    </w:p>
    <w:p w:rsidR="00234C51" w:rsidRPr="00234C51" w:rsidRDefault="00234C51" w:rsidP="00234C51">
      <w:pPr>
        <w:spacing w:before="192" w:after="0" w:line="240" w:lineRule="auto"/>
        <w:jc w:val="both"/>
        <w:rPr>
          <w:sz w:val="24"/>
          <w:szCs w:val="24"/>
        </w:rPr>
      </w:pPr>
      <w:r w:rsidRPr="00234C51">
        <w:rPr>
          <w:sz w:val="24"/>
          <w:szCs w:val="24"/>
        </w:rPr>
        <w:t>Where no submission is received from a Shire of East Pilbara based business, for a RFT or formal RFQ submissions from businesses based within the City of Karratha, the Shire of Ashburton and the Town of Port Hedland will be deemed to be regionally based for the purposes of this policy.</w:t>
      </w:r>
    </w:p>
    <w:p w:rsidR="00234C51" w:rsidRPr="00234C51" w:rsidRDefault="00234C51" w:rsidP="00234C51">
      <w:pPr>
        <w:spacing w:before="192" w:after="0" w:line="240" w:lineRule="auto"/>
        <w:jc w:val="both"/>
        <w:rPr>
          <w:sz w:val="24"/>
          <w:szCs w:val="24"/>
        </w:rPr>
      </w:pPr>
      <w:r w:rsidRPr="00234C51">
        <w:rPr>
          <w:sz w:val="24"/>
          <w:szCs w:val="24"/>
        </w:rPr>
        <w:t>A price preference will apply to all tenders invited by the Shire of East Pilbara for the supply of goods and services and construction (building) services, unless Council resolves that this policy will not apply to a particular tender.</w:t>
      </w:r>
    </w:p>
    <w:p w:rsidR="00234C51" w:rsidRPr="00234C51" w:rsidRDefault="00234C51" w:rsidP="00234C51">
      <w:pPr>
        <w:spacing w:before="192" w:after="0" w:line="240" w:lineRule="auto"/>
        <w:jc w:val="both"/>
        <w:rPr>
          <w:sz w:val="24"/>
          <w:szCs w:val="24"/>
        </w:rPr>
      </w:pPr>
      <w:r w:rsidRPr="00234C51">
        <w:rPr>
          <w:sz w:val="24"/>
          <w:szCs w:val="24"/>
        </w:rPr>
        <w:t xml:space="preserve">The following levels of preference </w:t>
      </w:r>
      <w:proofErr w:type="gramStart"/>
      <w:r w:rsidRPr="00234C51">
        <w:rPr>
          <w:sz w:val="24"/>
          <w:szCs w:val="24"/>
        </w:rPr>
        <w:t>will be applied</w:t>
      </w:r>
      <w:proofErr w:type="gramEnd"/>
      <w:r w:rsidRPr="00234C51">
        <w:rPr>
          <w:sz w:val="24"/>
          <w:szCs w:val="24"/>
        </w:rPr>
        <w:t xml:space="preserve"> under this policy:</w:t>
      </w:r>
    </w:p>
    <w:p w:rsidR="00234C51" w:rsidRPr="00234C51" w:rsidRDefault="00234C51" w:rsidP="00234C51">
      <w:pPr>
        <w:pStyle w:val="ShireHeading2"/>
        <w:numPr>
          <w:ilvl w:val="0"/>
          <w:numId w:val="11"/>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Goods and Services – 10%, or to a maximum price reduction of $50,000</w:t>
      </w:r>
    </w:p>
    <w:p w:rsidR="00234C51" w:rsidRPr="00234C51" w:rsidRDefault="00234C51" w:rsidP="00234C51">
      <w:pPr>
        <w:pStyle w:val="ShireHeading2"/>
        <w:numPr>
          <w:ilvl w:val="0"/>
          <w:numId w:val="11"/>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Construction (building) Services – 5%, or to a maximum price reduction of $50,000</w:t>
      </w:r>
    </w:p>
    <w:p w:rsidR="00234C51" w:rsidRPr="00234C51" w:rsidRDefault="00234C51" w:rsidP="00234C51">
      <w:pPr>
        <w:pStyle w:val="ShireHeading2"/>
        <w:numPr>
          <w:ilvl w:val="0"/>
          <w:numId w:val="11"/>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Goods and Services, including Construction (building) Services – 10%, or to a maximum price reduction of $500,000, if the Council is seeking tenders for the provision of those goods or services for the first time, due to those goods or services having been, until then, undertaken by the Council.</w:t>
      </w:r>
    </w:p>
    <w:p w:rsidR="00234C51" w:rsidRPr="00234C51" w:rsidRDefault="00234C51" w:rsidP="00234C51">
      <w:pPr>
        <w:spacing w:before="192" w:after="0" w:line="240" w:lineRule="auto"/>
        <w:jc w:val="both"/>
        <w:rPr>
          <w:sz w:val="24"/>
          <w:szCs w:val="24"/>
        </w:rPr>
      </w:pPr>
      <w:r w:rsidRPr="00234C51">
        <w:rPr>
          <w:sz w:val="24"/>
          <w:szCs w:val="24"/>
        </w:rPr>
        <w:t>The application of the preference levels listed in 1and 2 above will only be in consideration of the value of those goods and services identified by the supplier as being from regional sources.</w:t>
      </w:r>
    </w:p>
    <w:p w:rsidR="00234C51" w:rsidRPr="00234C51" w:rsidRDefault="00234C51" w:rsidP="00234C51">
      <w:pPr>
        <w:spacing w:before="192" w:after="0" w:line="240" w:lineRule="auto"/>
        <w:jc w:val="both"/>
        <w:rPr>
          <w:sz w:val="24"/>
          <w:szCs w:val="24"/>
        </w:rPr>
      </w:pPr>
      <w:r w:rsidRPr="00234C51">
        <w:rPr>
          <w:sz w:val="24"/>
          <w:szCs w:val="24"/>
        </w:rPr>
        <w:t xml:space="preserve">In considering any RFT or formal RFQ or submission, price is only one of the factors to </w:t>
      </w:r>
      <w:proofErr w:type="gramStart"/>
      <w:r w:rsidRPr="00234C51">
        <w:rPr>
          <w:sz w:val="24"/>
          <w:szCs w:val="24"/>
        </w:rPr>
        <w:t>be assessed</w:t>
      </w:r>
      <w:proofErr w:type="gramEnd"/>
      <w:r w:rsidRPr="00234C51">
        <w:rPr>
          <w:sz w:val="24"/>
          <w:szCs w:val="24"/>
        </w:rPr>
        <w:t xml:space="preserve"> when Council is to decide which of the suppliers it thinks would be the most advantageous to it</w:t>
      </w:r>
    </w:p>
    <w:p w:rsidR="00234C51" w:rsidRDefault="00234C51" w:rsidP="00234C51">
      <w:pPr>
        <w:spacing w:before="192" w:after="0" w:line="240" w:lineRule="auto"/>
        <w:jc w:val="both"/>
        <w:rPr>
          <w:i/>
          <w:sz w:val="24"/>
          <w:szCs w:val="24"/>
        </w:rPr>
      </w:pPr>
      <w:r w:rsidRPr="00234C51">
        <w:rPr>
          <w:i/>
          <w:sz w:val="24"/>
          <w:szCs w:val="24"/>
        </w:rPr>
        <w:t xml:space="preserve">Example of the Application of the Regional Price Preference Policy </w:t>
      </w:r>
    </w:p>
    <w:p w:rsidR="00234C51" w:rsidRPr="00234C51" w:rsidRDefault="00234C51" w:rsidP="00234C51">
      <w:pPr>
        <w:spacing w:before="192" w:after="0" w:line="240" w:lineRule="auto"/>
        <w:jc w:val="both"/>
        <w:rPr>
          <w:i/>
          <w:sz w:val="24"/>
          <w:szCs w:val="24"/>
        </w:rPr>
      </w:pPr>
      <w:r w:rsidRPr="00234C51">
        <w:rPr>
          <w:i/>
          <w:sz w:val="24"/>
          <w:szCs w:val="24"/>
        </w:rPr>
        <w:t>Example 1</w:t>
      </w:r>
    </w:p>
    <w:p w:rsidR="00234C51" w:rsidRPr="00234C51" w:rsidRDefault="00234C51" w:rsidP="00234C51">
      <w:pPr>
        <w:spacing w:before="192" w:after="0" w:line="240" w:lineRule="auto"/>
        <w:jc w:val="both"/>
        <w:rPr>
          <w:sz w:val="24"/>
          <w:szCs w:val="24"/>
        </w:rPr>
      </w:pPr>
      <w:r w:rsidRPr="00234C51">
        <w:rPr>
          <w:sz w:val="24"/>
          <w:szCs w:val="24"/>
        </w:rPr>
        <w:t xml:space="preserve">Consider a scenario when the following </w:t>
      </w:r>
      <w:proofErr w:type="gramStart"/>
      <w:r w:rsidRPr="00234C51">
        <w:rPr>
          <w:sz w:val="24"/>
          <w:szCs w:val="24"/>
        </w:rPr>
        <w:t>2</w:t>
      </w:r>
      <w:proofErr w:type="gramEnd"/>
      <w:r w:rsidRPr="00234C51">
        <w:rPr>
          <w:sz w:val="24"/>
          <w:szCs w:val="24"/>
        </w:rPr>
        <w:t xml:space="preserve"> tenders to supply goods and services are received by a local government that has chosen a 10% rate of preference.</w:t>
      </w:r>
    </w:p>
    <w:p w:rsidR="00234C51" w:rsidRPr="00234C51" w:rsidRDefault="00234C51" w:rsidP="00234C51">
      <w:pPr>
        <w:pStyle w:val="ShireHeading2"/>
        <w:numPr>
          <w:ilvl w:val="0"/>
          <w:numId w:val="12"/>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Submission 1 is from a regional supplier (as defined by Council in this policy).</w:t>
      </w:r>
    </w:p>
    <w:p w:rsidR="00234C51" w:rsidRPr="00234C51" w:rsidRDefault="00234C51" w:rsidP="00234C51">
      <w:pPr>
        <w:pStyle w:val="ShireHeading2"/>
        <w:numPr>
          <w:ilvl w:val="0"/>
          <w:numId w:val="12"/>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Submission 2 is from a metropolitan based firm.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127"/>
        <w:gridCol w:w="2976"/>
        <w:gridCol w:w="2472"/>
      </w:tblGrid>
      <w:tr w:rsidR="00234C51" w:rsidRPr="00234C51" w:rsidTr="00234C51">
        <w:trPr>
          <w:trHeight w:val="114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lastRenderedPageBreak/>
              <w:t xml:space="preserve">Tenders </w:t>
            </w:r>
            <w:r w:rsidRPr="00234C51">
              <w:rPr>
                <w:rFonts w:asciiTheme="minorHAnsi" w:hAnsiTheme="minorHAnsi" w:cstheme="minorHAnsi"/>
                <w:b/>
                <w:color w:val="FFFFFF" w:themeColor="background1"/>
                <w:sz w:val="24"/>
                <w:szCs w:val="24"/>
                <w:lang w:val="en-US" w:eastAsia="en-US"/>
              </w:rPr>
              <w:t>R</w:t>
            </w:r>
            <w:r w:rsidRPr="00234C51">
              <w:rPr>
                <w:rFonts w:asciiTheme="minorHAnsi" w:hAnsiTheme="minorHAnsi" w:cstheme="minorHAnsi"/>
                <w:b/>
                <w:color w:val="FFFFFF" w:themeColor="background1"/>
                <w:sz w:val="24"/>
                <w:szCs w:val="24"/>
                <w:lang w:val="en-US" w:eastAsia="en-US"/>
              </w:rPr>
              <w:t>eceived</w:t>
            </w:r>
          </w:p>
        </w:tc>
        <w:tc>
          <w:tcPr>
            <w:tcW w:w="2127"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Price of Tender</w:t>
            </w:r>
          </w:p>
        </w:tc>
        <w:tc>
          <w:tcPr>
            <w:tcW w:w="2976"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Price Reduction at 10% rate of preference</w:t>
            </w:r>
          </w:p>
        </w:tc>
        <w:tc>
          <w:tcPr>
            <w:tcW w:w="2472"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tabs>
                <w:tab w:val="left" w:pos="1279"/>
              </w:tabs>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 xml:space="preserve">Adjusted price used </w:t>
            </w:r>
            <w:proofErr w:type="spellStart"/>
            <w:r w:rsidRPr="00234C51">
              <w:rPr>
                <w:rFonts w:asciiTheme="minorHAnsi" w:hAnsiTheme="minorHAnsi" w:cstheme="minorHAnsi"/>
                <w:b/>
                <w:color w:val="FFFFFF" w:themeColor="background1"/>
                <w:sz w:val="24"/>
                <w:szCs w:val="24"/>
                <w:lang w:val="en-US" w:eastAsia="en-US"/>
              </w:rPr>
              <w:t>forevaluation</w:t>
            </w:r>
            <w:proofErr w:type="spellEnd"/>
            <w:r w:rsidRPr="00234C51">
              <w:rPr>
                <w:rFonts w:asciiTheme="minorHAnsi" w:hAnsiTheme="minorHAnsi" w:cstheme="minorHAnsi"/>
                <w:b/>
                <w:color w:val="FFFFFF" w:themeColor="background1"/>
                <w:sz w:val="24"/>
                <w:szCs w:val="24"/>
                <w:lang w:val="en-US" w:eastAsia="en-US"/>
              </w:rPr>
              <w:t xml:space="preserve"> purposes</w:t>
            </w:r>
          </w:p>
        </w:tc>
      </w:tr>
      <w:tr w:rsidR="00234C51" w:rsidRPr="00234C51" w:rsidTr="00234C51">
        <w:trPr>
          <w:trHeight w:val="1082"/>
          <w:jc w:val="center"/>
        </w:trPr>
        <w:tc>
          <w:tcPr>
            <w:tcW w:w="1668"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Submission 1</w:t>
            </w:r>
          </w:p>
        </w:tc>
        <w:tc>
          <w:tcPr>
            <w:tcW w:w="212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08"/>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$100,000</w:t>
            </w:r>
          </w:p>
        </w:tc>
        <w:tc>
          <w:tcPr>
            <w:tcW w:w="2976"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08"/>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$10,000</w:t>
            </w:r>
          </w:p>
          <w:p w:rsidR="00234C51" w:rsidRPr="00234C51" w:rsidRDefault="00234C51">
            <w:pPr>
              <w:pStyle w:val="TableParagraph"/>
              <w:spacing w:before="194"/>
              <w:ind w:left="108"/>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(10% of $100,000)</w:t>
            </w:r>
          </w:p>
        </w:tc>
        <w:tc>
          <w:tcPr>
            <w:tcW w:w="2472"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11"/>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$90,000</w:t>
            </w:r>
          </w:p>
          <w:p w:rsidR="00234C51" w:rsidRPr="00234C51" w:rsidRDefault="00234C51">
            <w:pPr>
              <w:pStyle w:val="TableParagraph"/>
              <w:spacing w:before="194"/>
              <w:ind w:left="111"/>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(100,000 less $10,000)</w:t>
            </w:r>
          </w:p>
        </w:tc>
      </w:tr>
      <w:tr w:rsidR="00234C51" w:rsidRPr="00234C51" w:rsidTr="00234C51">
        <w:trPr>
          <w:trHeight w:val="637"/>
          <w:jc w:val="center"/>
        </w:trPr>
        <w:tc>
          <w:tcPr>
            <w:tcW w:w="1668"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Submission 2</w:t>
            </w:r>
          </w:p>
        </w:tc>
        <w:tc>
          <w:tcPr>
            <w:tcW w:w="212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08"/>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$95,000</w:t>
            </w:r>
          </w:p>
        </w:tc>
        <w:tc>
          <w:tcPr>
            <w:tcW w:w="2976"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08"/>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No preference applicable</w:t>
            </w:r>
          </w:p>
        </w:tc>
        <w:tc>
          <w:tcPr>
            <w:tcW w:w="2472"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pPr>
              <w:pStyle w:val="TableParagraph"/>
              <w:spacing w:before="189"/>
              <w:ind w:left="111"/>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$95,000</w:t>
            </w:r>
          </w:p>
        </w:tc>
      </w:tr>
    </w:tbl>
    <w:p w:rsidR="00234C51" w:rsidRPr="00234C51" w:rsidRDefault="00234C51" w:rsidP="00234C51">
      <w:pPr>
        <w:spacing w:before="192" w:after="0" w:line="240" w:lineRule="auto"/>
        <w:jc w:val="both"/>
        <w:rPr>
          <w:sz w:val="24"/>
          <w:szCs w:val="24"/>
        </w:rPr>
      </w:pPr>
      <w:r w:rsidRPr="00234C51">
        <w:rPr>
          <w:sz w:val="24"/>
          <w:szCs w:val="24"/>
        </w:rPr>
        <w:t xml:space="preserve">As can be seen from the table above, in terms of price, the tender from the regional supplier (Submission1) is the most advantageous once the preference </w:t>
      </w:r>
      <w:proofErr w:type="gramStart"/>
      <w:r w:rsidRPr="00234C51">
        <w:rPr>
          <w:sz w:val="24"/>
          <w:szCs w:val="24"/>
        </w:rPr>
        <w:t>has been applied</w:t>
      </w:r>
      <w:proofErr w:type="gramEnd"/>
      <w:r w:rsidRPr="00234C51">
        <w:rPr>
          <w:sz w:val="24"/>
          <w:szCs w:val="24"/>
        </w:rPr>
        <w:t>.</w:t>
      </w:r>
    </w:p>
    <w:p w:rsidR="00234C51" w:rsidRPr="00234C51" w:rsidRDefault="00234C51" w:rsidP="00234C51">
      <w:pPr>
        <w:spacing w:before="192" w:after="0" w:line="240" w:lineRule="auto"/>
        <w:jc w:val="both"/>
        <w:rPr>
          <w:sz w:val="24"/>
          <w:szCs w:val="24"/>
        </w:rPr>
      </w:pPr>
      <w:r w:rsidRPr="00234C51">
        <w:rPr>
          <w:sz w:val="24"/>
          <w:szCs w:val="24"/>
        </w:rPr>
        <w:t xml:space="preserve">However, it is important to emphasise that price is only one of the criteria used to determine a successful submission. Nonetheless, when the tenders </w:t>
      </w:r>
      <w:proofErr w:type="gramStart"/>
      <w:r w:rsidRPr="00234C51">
        <w:rPr>
          <w:sz w:val="24"/>
          <w:szCs w:val="24"/>
        </w:rPr>
        <w:t>are assessed</w:t>
      </w:r>
      <w:proofErr w:type="gramEnd"/>
      <w:r w:rsidRPr="00234C51">
        <w:rPr>
          <w:sz w:val="24"/>
          <w:szCs w:val="24"/>
        </w:rPr>
        <w:t xml:space="preserve"> against all the RFT or RFQ criteria, the adjusted price is the one to be used. That is, the price following the application of any regional price preference.</w:t>
      </w:r>
    </w:p>
    <w:p w:rsidR="00234C51" w:rsidRPr="00234C51" w:rsidRDefault="00234C51" w:rsidP="00234C51">
      <w:pPr>
        <w:spacing w:before="192" w:after="0" w:line="240" w:lineRule="auto"/>
        <w:jc w:val="both"/>
        <w:rPr>
          <w:sz w:val="24"/>
          <w:szCs w:val="24"/>
          <w:u w:val="single"/>
        </w:rPr>
      </w:pPr>
      <w:r w:rsidRPr="00234C51">
        <w:rPr>
          <w:sz w:val="24"/>
          <w:szCs w:val="24"/>
          <w:u w:val="single"/>
        </w:rPr>
        <w:t>Example 2</w:t>
      </w:r>
    </w:p>
    <w:p w:rsidR="00234C51" w:rsidRPr="00234C51" w:rsidRDefault="00234C51" w:rsidP="00234C51">
      <w:pPr>
        <w:spacing w:before="192" w:after="0" w:line="240" w:lineRule="auto"/>
        <w:jc w:val="both"/>
        <w:rPr>
          <w:sz w:val="24"/>
          <w:szCs w:val="24"/>
        </w:rPr>
      </w:pPr>
      <w:r w:rsidRPr="00234C51">
        <w:rPr>
          <w:sz w:val="24"/>
          <w:szCs w:val="24"/>
        </w:rPr>
        <w:t xml:space="preserve">This example highlights how the maximum price reduction affects the assessment of tenders. The following scenario where tenders </w:t>
      </w:r>
      <w:proofErr w:type="gramStart"/>
      <w:r w:rsidRPr="00234C51">
        <w:rPr>
          <w:sz w:val="24"/>
          <w:szCs w:val="24"/>
        </w:rPr>
        <w:t>are called</w:t>
      </w:r>
      <w:proofErr w:type="gramEnd"/>
      <w:r w:rsidRPr="00234C51">
        <w:rPr>
          <w:sz w:val="24"/>
          <w:szCs w:val="24"/>
        </w:rPr>
        <w:t xml:space="preserve"> to supply construction (building) services by a local government that has chosen a 5% rate of preference.</w:t>
      </w:r>
    </w:p>
    <w:p w:rsidR="00234C51" w:rsidRPr="00234C51" w:rsidRDefault="00234C51" w:rsidP="00234C51">
      <w:pPr>
        <w:pStyle w:val="ShireHeading2"/>
        <w:numPr>
          <w:ilvl w:val="0"/>
          <w:numId w:val="13"/>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 xml:space="preserve">Tender </w:t>
      </w:r>
      <w:proofErr w:type="gramStart"/>
      <w:r w:rsidRPr="00234C51">
        <w:rPr>
          <w:rFonts w:eastAsiaTheme="minorHAnsi" w:cstheme="minorBidi"/>
          <w:b w:val="0"/>
          <w:bCs w:val="0"/>
          <w:sz w:val="24"/>
          <w:szCs w:val="24"/>
          <w:lang w:eastAsia="en-US" w:bidi="ar-SA"/>
        </w:rPr>
        <w:t>1</w:t>
      </w:r>
      <w:proofErr w:type="gramEnd"/>
      <w:r w:rsidRPr="00234C51">
        <w:rPr>
          <w:rFonts w:eastAsiaTheme="minorHAnsi" w:cstheme="minorBidi"/>
          <w:b w:val="0"/>
          <w:bCs w:val="0"/>
          <w:sz w:val="24"/>
          <w:szCs w:val="24"/>
          <w:lang w:eastAsia="en-US" w:bidi="ar-SA"/>
        </w:rPr>
        <w:t xml:space="preserve"> is from a regional tenderer.</w:t>
      </w:r>
    </w:p>
    <w:p w:rsidR="00234C51" w:rsidRPr="00234C51" w:rsidRDefault="00234C51" w:rsidP="00234C51">
      <w:pPr>
        <w:pStyle w:val="ShireHeading2"/>
        <w:numPr>
          <w:ilvl w:val="0"/>
          <w:numId w:val="13"/>
        </w:numPr>
        <w:rPr>
          <w:rFonts w:eastAsiaTheme="minorHAnsi" w:cstheme="minorBidi"/>
          <w:b w:val="0"/>
          <w:bCs w:val="0"/>
          <w:sz w:val="24"/>
          <w:szCs w:val="24"/>
          <w:lang w:eastAsia="en-US" w:bidi="ar-SA"/>
        </w:rPr>
      </w:pPr>
      <w:r w:rsidRPr="00234C51">
        <w:rPr>
          <w:rFonts w:eastAsiaTheme="minorHAnsi" w:cstheme="minorBidi"/>
          <w:b w:val="0"/>
          <w:bCs w:val="0"/>
          <w:sz w:val="24"/>
          <w:szCs w:val="24"/>
          <w:lang w:eastAsia="en-US" w:bidi="ar-SA"/>
        </w:rPr>
        <w:t>Tender 2 is from a metropolitan based firm.</w:t>
      </w:r>
    </w:p>
    <w:p w:rsidR="00234C51" w:rsidRDefault="00234C51" w:rsidP="00B47FEE">
      <w:pPr>
        <w:spacing w:before="192" w:after="0" w:line="240" w:lineRule="auto"/>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2269"/>
        <w:gridCol w:w="2977"/>
        <w:gridCol w:w="2473"/>
      </w:tblGrid>
      <w:tr w:rsidR="00234C51" w:rsidRPr="00234C51" w:rsidTr="00234C51">
        <w:trPr>
          <w:trHeight w:val="1142"/>
          <w:jc w:val="center"/>
        </w:trPr>
        <w:tc>
          <w:tcPr>
            <w:tcW w:w="1527"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Tenders Received</w:t>
            </w:r>
          </w:p>
        </w:tc>
        <w:tc>
          <w:tcPr>
            <w:tcW w:w="2269"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Price of Tender</w:t>
            </w:r>
          </w:p>
        </w:tc>
        <w:tc>
          <w:tcPr>
            <w:tcW w:w="2977"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Price Reduction at 5% rate of preference</w:t>
            </w:r>
          </w:p>
        </w:tc>
        <w:tc>
          <w:tcPr>
            <w:tcW w:w="2473" w:type="dxa"/>
            <w:tcBorders>
              <w:top w:val="single" w:sz="4" w:space="0" w:color="000000"/>
              <w:left w:val="single" w:sz="4" w:space="0" w:color="000000"/>
              <w:bottom w:val="single" w:sz="4" w:space="0" w:color="000000"/>
              <w:right w:val="single" w:sz="4" w:space="0" w:color="000000"/>
            </w:tcBorders>
            <w:shd w:val="clear" w:color="auto" w:fill="D28760"/>
            <w:hideMark/>
          </w:tcPr>
          <w:p w:rsidR="00234C51" w:rsidRPr="00234C51" w:rsidRDefault="00234C51" w:rsidP="00234C51">
            <w:pPr>
              <w:pStyle w:val="TableParagraph"/>
              <w:spacing w:before="187"/>
              <w:ind w:left="141" w:right="8"/>
              <w:rPr>
                <w:rFonts w:asciiTheme="minorHAnsi" w:hAnsiTheme="minorHAnsi" w:cstheme="minorHAnsi"/>
                <w:b/>
                <w:color w:val="FFFFFF" w:themeColor="background1"/>
                <w:sz w:val="24"/>
                <w:szCs w:val="24"/>
                <w:lang w:val="en-US" w:eastAsia="en-US"/>
              </w:rPr>
            </w:pPr>
            <w:r w:rsidRPr="00234C51">
              <w:rPr>
                <w:rFonts w:asciiTheme="minorHAnsi" w:hAnsiTheme="minorHAnsi" w:cstheme="minorHAnsi"/>
                <w:b/>
                <w:color w:val="FFFFFF" w:themeColor="background1"/>
                <w:sz w:val="24"/>
                <w:szCs w:val="24"/>
                <w:lang w:val="en-US" w:eastAsia="en-US"/>
              </w:rPr>
              <w:t>Reduced price used for</w:t>
            </w:r>
            <w:r w:rsidRPr="00234C51">
              <w:rPr>
                <w:rFonts w:asciiTheme="minorHAnsi" w:hAnsiTheme="minorHAnsi" w:cstheme="minorHAnsi"/>
                <w:b/>
                <w:color w:val="FFFFFF" w:themeColor="background1"/>
                <w:sz w:val="24"/>
                <w:szCs w:val="24"/>
                <w:lang w:val="en-US" w:eastAsia="en-US"/>
              </w:rPr>
              <w:tab/>
              <w:t>evaluation purposes</w:t>
            </w:r>
          </w:p>
        </w:tc>
      </w:tr>
      <w:tr w:rsidR="00234C51" w:rsidRPr="00234C51" w:rsidTr="00234C51">
        <w:trPr>
          <w:trHeight w:val="1142"/>
          <w:jc w:val="center"/>
        </w:trPr>
        <w:tc>
          <w:tcPr>
            <w:tcW w:w="152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Tender 1</w:t>
            </w:r>
          </w:p>
        </w:tc>
        <w:tc>
          <w:tcPr>
            <w:tcW w:w="2269"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$1,200,000</w:t>
            </w:r>
          </w:p>
        </w:tc>
        <w:tc>
          <w:tcPr>
            <w:tcW w:w="297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Less 5% of $1,200,000 =</w:t>
            </w:r>
          </w:p>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$60,000. However the maximum price reduction is limited to $50,000</w:t>
            </w:r>
          </w:p>
        </w:tc>
        <w:tc>
          <w:tcPr>
            <w:tcW w:w="2473"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$1,150,000</w:t>
            </w:r>
          </w:p>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($1,200,000 less</w:t>
            </w:r>
          </w:p>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$50,000)</w:t>
            </w:r>
          </w:p>
        </w:tc>
      </w:tr>
      <w:tr w:rsidR="00234C51" w:rsidRPr="00234C51" w:rsidTr="00234C51">
        <w:trPr>
          <w:trHeight w:val="1142"/>
          <w:jc w:val="center"/>
        </w:trPr>
        <w:tc>
          <w:tcPr>
            <w:tcW w:w="152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Tender 2</w:t>
            </w:r>
          </w:p>
        </w:tc>
        <w:tc>
          <w:tcPr>
            <w:tcW w:w="2269"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$1,145,000</w:t>
            </w:r>
          </w:p>
        </w:tc>
        <w:tc>
          <w:tcPr>
            <w:tcW w:w="2977"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No preference applicable</w:t>
            </w:r>
          </w:p>
        </w:tc>
        <w:tc>
          <w:tcPr>
            <w:tcW w:w="2473" w:type="dxa"/>
            <w:tcBorders>
              <w:top w:val="single" w:sz="4" w:space="0" w:color="000000"/>
              <w:left w:val="single" w:sz="4" w:space="0" w:color="000000"/>
              <w:bottom w:val="single" w:sz="4" w:space="0" w:color="000000"/>
              <w:right w:val="single" w:sz="4" w:space="0" w:color="000000"/>
            </w:tcBorders>
            <w:hideMark/>
          </w:tcPr>
          <w:p w:rsidR="00234C51" w:rsidRPr="00234C51" w:rsidRDefault="00234C51" w:rsidP="00234C51">
            <w:pPr>
              <w:pStyle w:val="TableParagraph"/>
              <w:spacing w:before="189"/>
              <w:rPr>
                <w:rFonts w:asciiTheme="minorHAnsi" w:hAnsiTheme="minorHAnsi" w:cstheme="minorHAnsi"/>
                <w:sz w:val="24"/>
                <w:szCs w:val="24"/>
                <w:lang w:val="en-US" w:eastAsia="en-US"/>
              </w:rPr>
            </w:pPr>
            <w:r w:rsidRPr="00234C51">
              <w:rPr>
                <w:rFonts w:asciiTheme="minorHAnsi" w:hAnsiTheme="minorHAnsi" w:cstheme="minorHAnsi"/>
                <w:sz w:val="24"/>
                <w:szCs w:val="24"/>
                <w:lang w:val="en-US" w:eastAsia="en-US"/>
              </w:rPr>
              <w:t>$1,145,000</w:t>
            </w:r>
          </w:p>
        </w:tc>
      </w:tr>
    </w:tbl>
    <w:p w:rsidR="00234C51" w:rsidRPr="00234C51" w:rsidRDefault="00234C51" w:rsidP="00234C51">
      <w:pPr>
        <w:spacing w:before="192" w:after="0" w:line="240" w:lineRule="auto"/>
        <w:jc w:val="both"/>
        <w:rPr>
          <w:sz w:val="24"/>
          <w:szCs w:val="24"/>
        </w:rPr>
      </w:pPr>
      <w:r w:rsidRPr="00234C51">
        <w:rPr>
          <w:sz w:val="24"/>
          <w:szCs w:val="24"/>
        </w:rPr>
        <w:t>In this case, in terms of price alone, Tender 2 is the most advantageous.</w:t>
      </w:r>
    </w:p>
    <w:p w:rsidR="00234C51" w:rsidRPr="00234C51" w:rsidRDefault="00234C51" w:rsidP="00234C51">
      <w:pPr>
        <w:pStyle w:val="ShireHeading2"/>
      </w:pPr>
      <w:r w:rsidRPr="00234C51">
        <w:t>Annual Review</w:t>
      </w:r>
    </w:p>
    <w:p w:rsidR="00234C51" w:rsidRDefault="00234C51" w:rsidP="00234C51">
      <w:pPr>
        <w:spacing w:before="192" w:after="0" w:line="240" w:lineRule="auto"/>
        <w:jc w:val="both"/>
        <w:rPr>
          <w:sz w:val="24"/>
          <w:szCs w:val="24"/>
        </w:rPr>
      </w:pPr>
      <w:r w:rsidRPr="00234C51">
        <w:rPr>
          <w:sz w:val="24"/>
          <w:szCs w:val="24"/>
        </w:rPr>
        <w:t xml:space="preserve">This policy </w:t>
      </w:r>
      <w:proofErr w:type="gramStart"/>
      <w:r w:rsidRPr="00234C51">
        <w:rPr>
          <w:sz w:val="24"/>
          <w:szCs w:val="24"/>
        </w:rPr>
        <w:t>will be reviewed</w:t>
      </w:r>
      <w:proofErr w:type="gramEnd"/>
      <w:r w:rsidRPr="00234C51">
        <w:rPr>
          <w:sz w:val="24"/>
          <w:szCs w:val="24"/>
        </w:rPr>
        <w:t xml:space="preserve"> on an annual basis to assess the financial impact on Council resources and the level of local purchasing. The Council may revise the percentage preference rates </w:t>
      </w:r>
      <w:proofErr w:type="gramStart"/>
      <w:r w:rsidRPr="00234C51">
        <w:rPr>
          <w:sz w:val="24"/>
          <w:szCs w:val="24"/>
        </w:rPr>
        <w:t>as a result</w:t>
      </w:r>
      <w:proofErr w:type="gramEnd"/>
      <w:r w:rsidRPr="00234C51">
        <w:rPr>
          <w:sz w:val="24"/>
          <w:szCs w:val="24"/>
        </w:rPr>
        <w:t xml:space="preserve"> of each Review, in accordance with the </w:t>
      </w:r>
      <w:r w:rsidRPr="00234C51">
        <w:rPr>
          <w:i/>
          <w:sz w:val="24"/>
          <w:szCs w:val="24"/>
        </w:rPr>
        <w:t>Local Government (Functions and General) Regulations 1996</w:t>
      </w:r>
      <w:r w:rsidRPr="00234C51">
        <w:rPr>
          <w:sz w:val="24"/>
          <w:szCs w:val="24"/>
        </w:rPr>
        <w:t>.</w:t>
      </w:r>
    </w:p>
    <w:p w:rsidR="00234C51" w:rsidRPr="00B47FEE" w:rsidRDefault="00234C51" w:rsidP="00B47FEE">
      <w:pPr>
        <w:spacing w:before="192" w:after="0" w:line="240" w:lineRule="auto"/>
        <w:jc w:val="both"/>
        <w:rPr>
          <w:sz w:val="24"/>
          <w:szCs w:val="24"/>
        </w:rPr>
      </w:pPr>
    </w:p>
    <w:p w:rsidR="00354F57" w:rsidRPr="00D454B1" w:rsidRDefault="00354F57" w:rsidP="00D454B1">
      <w:pPr>
        <w:pStyle w:val="ShireHeading2"/>
      </w:pPr>
      <w:r w:rsidRPr="00D454B1">
        <w:lastRenderedPageBreak/>
        <w:t>Authorisation Details</w:t>
      </w:r>
    </w:p>
    <w:p w:rsidR="00354F57" w:rsidRDefault="00354F57" w:rsidP="00354F57">
      <w:pPr>
        <w:pStyle w:val="BodyText"/>
        <w:spacing w:before="193"/>
        <w:ind w:right="855"/>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2306"/>
        <w:gridCol w:w="2280"/>
        <w:gridCol w:w="2284"/>
      </w:tblGrid>
      <w:tr w:rsidR="00234C51" w:rsidTr="00A96878">
        <w:trPr>
          <w:trHeight w:val="31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tcPr>
          <w:p w:rsidR="00234C51" w:rsidRPr="00A96878" w:rsidRDefault="00234C51" w:rsidP="00D92BC4">
            <w:pPr>
              <w:pStyle w:val="TableParagraph"/>
              <w:rPr>
                <w:rFonts w:asciiTheme="minorHAnsi" w:hAnsiTheme="minorHAnsi" w:cstheme="minorHAnsi"/>
                <w:b/>
                <w:sz w:val="24"/>
                <w:lang w:val="en-US" w:eastAsia="en-US"/>
              </w:rPr>
            </w:pPr>
            <w:r>
              <w:rPr>
                <w:rFonts w:asciiTheme="minorHAnsi" w:hAnsiTheme="minorHAnsi" w:cstheme="minorHAnsi"/>
                <w:b/>
                <w:sz w:val="24"/>
                <w:lang w:val="en-US" w:eastAsia="en-US"/>
              </w:rPr>
              <w:t>References:</w:t>
            </w:r>
          </w:p>
        </w:tc>
        <w:tc>
          <w:tcPr>
            <w:tcW w:w="6870" w:type="dxa"/>
            <w:gridSpan w:val="3"/>
            <w:tcBorders>
              <w:top w:val="single" w:sz="4" w:space="0" w:color="000000"/>
              <w:left w:val="single" w:sz="4" w:space="0" w:color="000000"/>
              <w:bottom w:val="single" w:sz="4" w:space="0" w:color="000000"/>
              <w:right w:val="single" w:sz="4" w:space="0" w:color="000000"/>
            </w:tcBorders>
          </w:tcPr>
          <w:p w:rsidR="00234C51" w:rsidRPr="00234C51" w:rsidRDefault="00234C51" w:rsidP="00D92BC4">
            <w:pPr>
              <w:pStyle w:val="TableParagraph"/>
              <w:ind w:left="110"/>
              <w:rPr>
                <w:rFonts w:asciiTheme="minorHAnsi" w:hAnsiTheme="minorHAnsi" w:cstheme="minorHAnsi"/>
                <w:sz w:val="24"/>
                <w:szCs w:val="24"/>
                <w:lang w:val="en-US" w:eastAsia="en-US"/>
              </w:rPr>
            </w:pPr>
            <w:r w:rsidRPr="00234C51">
              <w:rPr>
                <w:rFonts w:asciiTheme="minorHAnsi" w:hAnsiTheme="minorHAnsi" w:cstheme="minorHAnsi"/>
                <w:i/>
                <w:sz w:val="24"/>
                <w:szCs w:val="24"/>
              </w:rPr>
              <w:t>Local Government (Functions and General) Regulations 1996</w:t>
            </w:r>
          </w:p>
        </w:tc>
      </w:tr>
      <w:tr w:rsidR="00354F57" w:rsidTr="00A96878">
        <w:trPr>
          <w:trHeight w:val="31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rPr>
                <w:rFonts w:asciiTheme="minorHAnsi" w:hAnsiTheme="minorHAnsi" w:cstheme="minorHAnsi"/>
                <w:b/>
                <w:sz w:val="24"/>
                <w:lang w:val="en-US" w:eastAsia="en-US"/>
              </w:rPr>
            </w:pPr>
            <w:r w:rsidRPr="00A96878">
              <w:rPr>
                <w:rFonts w:asciiTheme="minorHAnsi" w:hAnsiTheme="minorHAnsi" w:cstheme="minorHAnsi"/>
                <w:b/>
                <w:sz w:val="24"/>
                <w:lang w:val="en-US" w:eastAsia="en-US"/>
              </w:rPr>
              <w:t>Authorised by:</w:t>
            </w:r>
          </w:p>
        </w:tc>
        <w:tc>
          <w:tcPr>
            <w:tcW w:w="6870" w:type="dxa"/>
            <w:gridSpan w:val="3"/>
            <w:tcBorders>
              <w:top w:val="single" w:sz="4" w:space="0" w:color="000000"/>
              <w:left w:val="single" w:sz="4" w:space="0" w:color="000000"/>
              <w:bottom w:val="single" w:sz="4" w:space="0" w:color="000000"/>
              <w:right w:val="single" w:sz="4" w:space="0" w:color="000000"/>
            </w:tcBorders>
            <w:hideMark/>
          </w:tcPr>
          <w:p w:rsidR="00354F57" w:rsidRPr="00A96878" w:rsidRDefault="00C52380" w:rsidP="00D92BC4">
            <w:pPr>
              <w:pStyle w:val="TableParagraph"/>
              <w:ind w:left="110"/>
              <w:rPr>
                <w:rFonts w:ascii="Calibri" w:hAnsi="Calibri" w:cs="Calibri"/>
                <w:sz w:val="24"/>
                <w:lang w:val="en-US" w:eastAsia="en-US"/>
              </w:rPr>
            </w:pPr>
            <w:r>
              <w:rPr>
                <w:rFonts w:ascii="Calibri" w:hAnsi="Calibri" w:cs="Calibri"/>
                <w:sz w:val="24"/>
                <w:lang w:val="en-US" w:eastAsia="en-US"/>
              </w:rPr>
              <w:t>Council</w:t>
            </w:r>
          </w:p>
        </w:tc>
      </w:tr>
      <w:tr w:rsidR="00354F57" w:rsidTr="00A96878">
        <w:trPr>
          <w:trHeight w:val="311"/>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rPr>
                <w:rFonts w:asciiTheme="minorHAnsi" w:hAnsiTheme="minorHAnsi" w:cstheme="minorHAnsi"/>
                <w:b/>
                <w:sz w:val="24"/>
                <w:lang w:val="en-US" w:eastAsia="en-US"/>
              </w:rPr>
            </w:pPr>
            <w:r w:rsidRPr="00A96878">
              <w:rPr>
                <w:rFonts w:asciiTheme="minorHAnsi" w:hAnsiTheme="minorHAnsi" w:cstheme="minorHAnsi"/>
                <w:b/>
                <w:sz w:val="24"/>
                <w:lang w:val="en-US" w:eastAsia="en-US"/>
              </w:rPr>
              <w:t>Date:</w:t>
            </w:r>
          </w:p>
        </w:tc>
        <w:tc>
          <w:tcPr>
            <w:tcW w:w="2306" w:type="dxa"/>
            <w:tcBorders>
              <w:top w:val="single" w:sz="4" w:space="0" w:color="000000"/>
              <w:left w:val="single" w:sz="4" w:space="0" w:color="000000"/>
              <w:bottom w:val="single" w:sz="4" w:space="0" w:color="000000"/>
              <w:right w:val="single" w:sz="4" w:space="0" w:color="000000"/>
            </w:tcBorders>
            <w:hideMark/>
          </w:tcPr>
          <w:p w:rsidR="00354F57" w:rsidRPr="00A96878" w:rsidRDefault="00234C51" w:rsidP="00D92BC4">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5 May 2006</w:t>
            </w:r>
          </w:p>
        </w:tc>
        <w:tc>
          <w:tcPr>
            <w:tcW w:w="2280"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ind w:left="108"/>
              <w:rPr>
                <w:rFonts w:asciiTheme="minorHAnsi" w:hAnsiTheme="minorHAnsi" w:cstheme="minorHAnsi"/>
                <w:b/>
                <w:sz w:val="24"/>
                <w:lang w:val="en-US" w:eastAsia="en-US"/>
              </w:rPr>
            </w:pPr>
            <w:r w:rsidRPr="00A96878">
              <w:rPr>
                <w:rFonts w:asciiTheme="minorHAnsi" w:hAnsiTheme="minorHAnsi" w:cstheme="minorHAnsi"/>
                <w:b/>
                <w:sz w:val="24"/>
                <w:lang w:val="en-US" w:eastAsia="en-US"/>
              </w:rPr>
              <w:t>Item No.</w:t>
            </w:r>
          </w:p>
        </w:tc>
        <w:tc>
          <w:tcPr>
            <w:tcW w:w="2284" w:type="dxa"/>
            <w:tcBorders>
              <w:top w:val="single" w:sz="4" w:space="0" w:color="000000"/>
              <w:left w:val="single" w:sz="4" w:space="0" w:color="000000"/>
              <w:bottom w:val="single" w:sz="4" w:space="0" w:color="000000"/>
              <w:right w:val="single" w:sz="4" w:space="0" w:color="000000"/>
            </w:tcBorders>
            <w:hideMark/>
          </w:tcPr>
          <w:p w:rsidR="00354F57" w:rsidRPr="00A96878" w:rsidRDefault="00234C51" w:rsidP="00D92BC4">
            <w:pPr>
              <w:pStyle w:val="TableParagraph"/>
              <w:ind w:left="109"/>
              <w:rPr>
                <w:rFonts w:asciiTheme="minorHAnsi" w:hAnsiTheme="minorHAnsi" w:cstheme="minorHAnsi"/>
                <w:sz w:val="24"/>
                <w:lang w:val="en-US" w:eastAsia="en-US"/>
              </w:rPr>
            </w:pPr>
            <w:r>
              <w:rPr>
                <w:rFonts w:asciiTheme="minorHAnsi" w:hAnsiTheme="minorHAnsi" w:cstheme="minorHAnsi"/>
                <w:sz w:val="24"/>
                <w:lang w:val="en-US" w:eastAsia="en-US"/>
              </w:rPr>
              <w:t>9.4.2</w:t>
            </w:r>
          </w:p>
        </w:tc>
      </w:tr>
      <w:tr w:rsidR="00354F57" w:rsidTr="00A96878">
        <w:trPr>
          <w:trHeight w:val="314"/>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spacing w:before="28"/>
              <w:rPr>
                <w:rFonts w:asciiTheme="minorHAnsi" w:hAnsiTheme="minorHAnsi" w:cstheme="minorHAnsi"/>
                <w:b/>
                <w:sz w:val="24"/>
                <w:lang w:val="en-US" w:eastAsia="en-US"/>
              </w:rPr>
            </w:pPr>
            <w:r w:rsidRPr="00A96878">
              <w:rPr>
                <w:rFonts w:asciiTheme="minorHAnsi" w:hAnsiTheme="minorHAnsi" w:cstheme="minorHAnsi"/>
                <w:b/>
                <w:sz w:val="24"/>
                <w:lang w:val="en-US" w:eastAsia="en-US"/>
              </w:rPr>
              <w:t>Review/Amendment Date</w:t>
            </w:r>
          </w:p>
        </w:tc>
        <w:tc>
          <w:tcPr>
            <w:tcW w:w="2306" w:type="dxa"/>
            <w:tcBorders>
              <w:top w:val="single" w:sz="4" w:space="0" w:color="000000"/>
              <w:left w:val="single" w:sz="4" w:space="0" w:color="000000"/>
              <w:bottom w:val="single" w:sz="4" w:space="0" w:color="000000"/>
              <w:right w:val="single" w:sz="4" w:space="0" w:color="000000"/>
            </w:tcBorders>
          </w:tcPr>
          <w:p w:rsidR="00354F57" w:rsidRPr="00A96878" w:rsidRDefault="00234C51" w:rsidP="00D92BC4">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8 February 2013</w:t>
            </w:r>
          </w:p>
        </w:tc>
        <w:tc>
          <w:tcPr>
            <w:tcW w:w="2280"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spacing w:before="28"/>
              <w:ind w:left="108"/>
              <w:rPr>
                <w:rFonts w:asciiTheme="minorHAnsi" w:hAnsiTheme="minorHAnsi" w:cstheme="minorHAnsi"/>
                <w:b/>
                <w:sz w:val="24"/>
                <w:lang w:val="en-US" w:eastAsia="en-US"/>
              </w:rPr>
            </w:pPr>
            <w:r w:rsidRPr="00A96878">
              <w:rPr>
                <w:rFonts w:asciiTheme="minorHAnsi" w:hAnsiTheme="minorHAnsi" w:cstheme="minorHAnsi"/>
                <w:b/>
                <w:sz w:val="24"/>
                <w:lang w:val="en-US" w:eastAsia="en-US"/>
              </w:rPr>
              <w:t>Item No</w:t>
            </w:r>
            <w:r w:rsidR="002D7009">
              <w:rPr>
                <w:rFonts w:asciiTheme="minorHAnsi" w:hAnsiTheme="minorHAnsi" w:cstheme="minorHAnsi"/>
                <w:b/>
                <w:sz w:val="24"/>
                <w:lang w:val="en-US" w:eastAsia="en-US"/>
              </w:rPr>
              <w:t>.</w:t>
            </w:r>
          </w:p>
        </w:tc>
        <w:tc>
          <w:tcPr>
            <w:tcW w:w="2284" w:type="dxa"/>
            <w:tcBorders>
              <w:top w:val="single" w:sz="4" w:space="0" w:color="000000"/>
              <w:left w:val="single" w:sz="4" w:space="0" w:color="000000"/>
              <w:bottom w:val="single" w:sz="4" w:space="0" w:color="000000"/>
              <w:right w:val="single" w:sz="4" w:space="0" w:color="000000"/>
            </w:tcBorders>
          </w:tcPr>
          <w:p w:rsidR="00354F57" w:rsidRPr="00A96878" w:rsidRDefault="00234C51" w:rsidP="00D92BC4">
            <w:pPr>
              <w:pStyle w:val="TableParagraph"/>
              <w:ind w:left="109"/>
              <w:rPr>
                <w:rFonts w:asciiTheme="minorHAnsi" w:hAnsiTheme="minorHAnsi" w:cstheme="minorHAnsi"/>
                <w:sz w:val="24"/>
                <w:lang w:val="en-US" w:eastAsia="en-US"/>
              </w:rPr>
            </w:pPr>
            <w:r>
              <w:rPr>
                <w:rFonts w:asciiTheme="minorHAnsi" w:hAnsiTheme="minorHAnsi" w:cstheme="minorHAnsi"/>
                <w:sz w:val="24"/>
                <w:lang w:val="en-US" w:eastAsia="en-US"/>
              </w:rPr>
              <w:t>9.1.8</w:t>
            </w:r>
          </w:p>
        </w:tc>
      </w:tr>
      <w:tr w:rsidR="00234C51" w:rsidRPr="00A96878" w:rsidTr="00110BF1">
        <w:trPr>
          <w:trHeight w:val="314"/>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234C51" w:rsidRPr="00A96878" w:rsidRDefault="00234C51" w:rsidP="00110BF1">
            <w:pPr>
              <w:pStyle w:val="TableParagraph"/>
              <w:spacing w:before="28"/>
              <w:rPr>
                <w:rFonts w:asciiTheme="minorHAnsi" w:hAnsiTheme="minorHAnsi" w:cstheme="minorHAnsi"/>
                <w:b/>
                <w:sz w:val="24"/>
                <w:lang w:val="en-US" w:eastAsia="en-US"/>
              </w:rPr>
            </w:pPr>
            <w:r w:rsidRPr="00A96878">
              <w:rPr>
                <w:rFonts w:asciiTheme="minorHAnsi" w:hAnsiTheme="minorHAnsi" w:cstheme="minorHAnsi"/>
                <w:b/>
                <w:sz w:val="24"/>
                <w:lang w:val="en-US" w:eastAsia="en-US"/>
              </w:rPr>
              <w:t>Review/Amendment Date</w:t>
            </w:r>
          </w:p>
        </w:tc>
        <w:tc>
          <w:tcPr>
            <w:tcW w:w="2306" w:type="dxa"/>
            <w:tcBorders>
              <w:top w:val="single" w:sz="4" w:space="0" w:color="000000"/>
              <w:left w:val="single" w:sz="4" w:space="0" w:color="000000"/>
              <w:bottom w:val="single" w:sz="4" w:space="0" w:color="000000"/>
              <w:right w:val="single" w:sz="4" w:space="0" w:color="000000"/>
            </w:tcBorders>
          </w:tcPr>
          <w:p w:rsidR="00234C51" w:rsidRPr="00A96878" w:rsidRDefault="00234C51" w:rsidP="00110BF1">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26 August 2016</w:t>
            </w:r>
          </w:p>
        </w:tc>
        <w:tc>
          <w:tcPr>
            <w:tcW w:w="2280" w:type="dxa"/>
            <w:tcBorders>
              <w:top w:val="single" w:sz="4" w:space="0" w:color="000000"/>
              <w:left w:val="single" w:sz="4" w:space="0" w:color="000000"/>
              <w:bottom w:val="single" w:sz="4" w:space="0" w:color="000000"/>
              <w:right w:val="single" w:sz="4" w:space="0" w:color="000000"/>
            </w:tcBorders>
            <w:shd w:val="clear" w:color="auto" w:fill="F9EEE8"/>
            <w:hideMark/>
          </w:tcPr>
          <w:p w:rsidR="00234C51" w:rsidRPr="00A96878" w:rsidRDefault="00234C51" w:rsidP="00110BF1">
            <w:pPr>
              <w:pStyle w:val="TableParagraph"/>
              <w:spacing w:before="28"/>
              <w:ind w:left="108"/>
              <w:rPr>
                <w:rFonts w:asciiTheme="minorHAnsi" w:hAnsiTheme="minorHAnsi" w:cstheme="minorHAnsi"/>
                <w:b/>
                <w:sz w:val="24"/>
                <w:lang w:val="en-US" w:eastAsia="en-US"/>
              </w:rPr>
            </w:pPr>
            <w:r w:rsidRPr="00A96878">
              <w:rPr>
                <w:rFonts w:asciiTheme="minorHAnsi" w:hAnsiTheme="minorHAnsi" w:cstheme="minorHAnsi"/>
                <w:b/>
                <w:sz w:val="24"/>
                <w:lang w:val="en-US" w:eastAsia="en-US"/>
              </w:rPr>
              <w:t>Item No</w:t>
            </w:r>
            <w:r>
              <w:rPr>
                <w:rFonts w:asciiTheme="minorHAnsi" w:hAnsiTheme="minorHAnsi" w:cstheme="minorHAnsi"/>
                <w:b/>
                <w:sz w:val="24"/>
                <w:lang w:val="en-US" w:eastAsia="en-US"/>
              </w:rPr>
              <w:t>.</w:t>
            </w:r>
          </w:p>
        </w:tc>
        <w:tc>
          <w:tcPr>
            <w:tcW w:w="2284" w:type="dxa"/>
            <w:tcBorders>
              <w:top w:val="single" w:sz="4" w:space="0" w:color="000000"/>
              <w:left w:val="single" w:sz="4" w:space="0" w:color="000000"/>
              <w:bottom w:val="single" w:sz="4" w:space="0" w:color="000000"/>
              <w:right w:val="single" w:sz="4" w:space="0" w:color="000000"/>
            </w:tcBorders>
          </w:tcPr>
          <w:p w:rsidR="00234C51" w:rsidRPr="00A96878" w:rsidRDefault="00234C51" w:rsidP="00110BF1">
            <w:pPr>
              <w:pStyle w:val="TableParagraph"/>
              <w:ind w:left="109"/>
              <w:rPr>
                <w:rFonts w:asciiTheme="minorHAnsi" w:hAnsiTheme="minorHAnsi" w:cstheme="minorHAnsi"/>
                <w:sz w:val="24"/>
                <w:lang w:val="en-US" w:eastAsia="en-US"/>
              </w:rPr>
            </w:pPr>
            <w:r>
              <w:rPr>
                <w:rFonts w:asciiTheme="minorHAnsi" w:hAnsiTheme="minorHAnsi" w:cstheme="minorHAnsi"/>
                <w:sz w:val="24"/>
                <w:lang w:val="en-US" w:eastAsia="en-US"/>
              </w:rPr>
              <w:t>9.2.8</w:t>
            </w:r>
          </w:p>
        </w:tc>
      </w:tr>
      <w:tr w:rsidR="00234C51" w:rsidRPr="00A96878" w:rsidTr="00110BF1">
        <w:trPr>
          <w:trHeight w:val="314"/>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234C51" w:rsidRPr="00A96878" w:rsidRDefault="00234C51" w:rsidP="00110BF1">
            <w:pPr>
              <w:pStyle w:val="TableParagraph"/>
              <w:spacing w:before="28"/>
              <w:rPr>
                <w:rFonts w:asciiTheme="minorHAnsi" w:hAnsiTheme="minorHAnsi" w:cstheme="minorHAnsi"/>
                <w:b/>
                <w:sz w:val="24"/>
                <w:lang w:val="en-US" w:eastAsia="en-US"/>
              </w:rPr>
            </w:pPr>
            <w:r w:rsidRPr="00A96878">
              <w:rPr>
                <w:rFonts w:asciiTheme="minorHAnsi" w:hAnsiTheme="minorHAnsi" w:cstheme="minorHAnsi"/>
                <w:b/>
                <w:sz w:val="24"/>
                <w:lang w:val="en-US" w:eastAsia="en-US"/>
              </w:rPr>
              <w:t>Review/Amendment Date</w:t>
            </w:r>
          </w:p>
        </w:tc>
        <w:tc>
          <w:tcPr>
            <w:tcW w:w="2306" w:type="dxa"/>
            <w:tcBorders>
              <w:top w:val="single" w:sz="4" w:space="0" w:color="000000"/>
              <w:left w:val="single" w:sz="4" w:space="0" w:color="000000"/>
              <w:bottom w:val="single" w:sz="4" w:space="0" w:color="000000"/>
              <w:right w:val="single" w:sz="4" w:space="0" w:color="000000"/>
            </w:tcBorders>
          </w:tcPr>
          <w:p w:rsidR="00234C51" w:rsidRPr="00A96878" w:rsidRDefault="00234C51" w:rsidP="00110BF1">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17 March 2017</w:t>
            </w:r>
          </w:p>
        </w:tc>
        <w:tc>
          <w:tcPr>
            <w:tcW w:w="2280" w:type="dxa"/>
            <w:tcBorders>
              <w:top w:val="single" w:sz="4" w:space="0" w:color="000000"/>
              <w:left w:val="single" w:sz="4" w:space="0" w:color="000000"/>
              <w:bottom w:val="single" w:sz="4" w:space="0" w:color="000000"/>
              <w:right w:val="single" w:sz="4" w:space="0" w:color="000000"/>
            </w:tcBorders>
            <w:shd w:val="clear" w:color="auto" w:fill="F9EEE8"/>
            <w:hideMark/>
          </w:tcPr>
          <w:p w:rsidR="00234C51" w:rsidRPr="00A96878" w:rsidRDefault="00234C51" w:rsidP="00110BF1">
            <w:pPr>
              <w:pStyle w:val="TableParagraph"/>
              <w:spacing w:before="28"/>
              <w:ind w:left="108"/>
              <w:rPr>
                <w:rFonts w:asciiTheme="minorHAnsi" w:hAnsiTheme="minorHAnsi" w:cstheme="minorHAnsi"/>
                <w:b/>
                <w:sz w:val="24"/>
                <w:lang w:val="en-US" w:eastAsia="en-US"/>
              </w:rPr>
            </w:pPr>
            <w:r w:rsidRPr="00A96878">
              <w:rPr>
                <w:rFonts w:asciiTheme="minorHAnsi" w:hAnsiTheme="minorHAnsi" w:cstheme="minorHAnsi"/>
                <w:b/>
                <w:sz w:val="24"/>
                <w:lang w:val="en-US" w:eastAsia="en-US"/>
              </w:rPr>
              <w:t>Item No</w:t>
            </w:r>
            <w:r>
              <w:rPr>
                <w:rFonts w:asciiTheme="minorHAnsi" w:hAnsiTheme="minorHAnsi" w:cstheme="minorHAnsi"/>
                <w:b/>
                <w:sz w:val="24"/>
                <w:lang w:val="en-US" w:eastAsia="en-US"/>
              </w:rPr>
              <w:t>.</w:t>
            </w:r>
          </w:p>
        </w:tc>
        <w:tc>
          <w:tcPr>
            <w:tcW w:w="2284" w:type="dxa"/>
            <w:tcBorders>
              <w:top w:val="single" w:sz="4" w:space="0" w:color="000000"/>
              <w:left w:val="single" w:sz="4" w:space="0" w:color="000000"/>
              <w:bottom w:val="single" w:sz="4" w:space="0" w:color="000000"/>
              <w:right w:val="single" w:sz="4" w:space="0" w:color="000000"/>
            </w:tcBorders>
          </w:tcPr>
          <w:p w:rsidR="00234C51" w:rsidRPr="00A96878" w:rsidRDefault="00234C51" w:rsidP="00110BF1">
            <w:pPr>
              <w:pStyle w:val="TableParagraph"/>
              <w:ind w:left="109"/>
              <w:rPr>
                <w:rFonts w:asciiTheme="minorHAnsi" w:hAnsiTheme="minorHAnsi" w:cstheme="minorHAnsi"/>
                <w:sz w:val="24"/>
                <w:lang w:val="en-US" w:eastAsia="en-US"/>
              </w:rPr>
            </w:pPr>
            <w:r>
              <w:rPr>
                <w:rFonts w:asciiTheme="minorHAnsi" w:hAnsiTheme="minorHAnsi" w:cstheme="minorHAnsi"/>
                <w:sz w:val="24"/>
                <w:lang w:val="en-US" w:eastAsia="en-US"/>
              </w:rPr>
              <w:t>9.2.1</w:t>
            </w:r>
          </w:p>
        </w:tc>
      </w:tr>
      <w:tr w:rsidR="00354F57" w:rsidTr="00A96878">
        <w:trPr>
          <w:trHeight w:val="313"/>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hideMark/>
          </w:tcPr>
          <w:p w:rsidR="00354F57" w:rsidRPr="00A96878" w:rsidRDefault="00354F57" w:rsidP="00D92BC4">
            <w:pPr>
              <w:pStyle w:val="TableParagraph"/>
              <w:rPr>
                <w:rFonts w:asciiTheme="minorHAnsi" w:hAnsiTheme="minorHAnsi" w:cstheme="minorHAnsi"/>
                <w:b/>
                <w:sz w:val="24"/>
                <w:lang w:val="en-US" w:eastAsia="en-US"/>
              </w:rPr>
            </w:pPr>
            <w:r w:rsidRPr="00A96878">
              <w:rPr>
                <w:rFonts w:asciiTheme="minorHAnsi" w:hAnsiTheme="minorHAnsi" w:cstheme="minorHAnsi"/>
                <w:b/>
                <w:sz w:val="24"/>
                <w:lang w:val="en-US" w:eastAsia="en-US"/>
              </w:rPr>
              <w:t>Next Review</w:t>
            </w:r>
          </w:p>
        </w:tc>
        <w:tc>
          <w:tcPr>
            <w:tcW w:w="6870" w:type="dxa"/>
            <w:gridSpan w:val="3"/>
            <w:tcBorders>
              <w:top w:val="single" w:sz="4" w:space="0" w:color="000000"/>
              <w:left w:val="single" w:sz="4" w:space="0" w:color="000000"/>
              <w:bottom w:val="single" w:sz="4" w:space="0" w:color="000000"/>
              <w:right w:val="single" w:sz="4" w:space="0" w:color="000000"/>
            </w:tcBorders>
            <w:hideMark/>
          </w:tcPr>
          <w:p w:rsidR="00354F57" w:rsidRPr="00A96878" w:rsidRDefault="00234C51" w:rsidP="00D92BC4">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Annually</w:t>
            </w:r>
          </w:p>
        </w:tc>
      </w:tr>
      <w:tr w:rsidR="00A96878" w:rsidTr="00A96878">
        <w:trPr>
          <w:trHeight w:val="313"/>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tcPr>
          <w:p w:rsidR="00A96878" w:rsidRPr="00A96878" w:rsidRDefault="00A96878" w:rsidP="00D92BC4">
            <w:pPr>
              <w:pStyle w:val="TableParagraph"/>
              <w:rPr>
                <w:rFonts w:asciiTheme="minorHAnsi" w:hAnsiTheme="minorHAnsi" w:cstheme="minorHAnsi"/>
                <w:b/>
                <w:sz w:val="24"/>
                <w:lang w:val="en-US" w:eastAsia="en-US"/>
              </w:rPr>
            </w:pPr>
            <w:r>
              <w:rPr>
                <w:rFonts w:asciiTheme="minorHAnsi" w:hAnsiTheme="minorHAnsi" w:cstheme="minorHAnsi"/>
                <w:b/>
                <w:sz w:val="24"/>
                <w:lang w:val="en-US" w:eastAsia="en-US"/>
              </w:rPr>
              <w:t>Responsible Directorate</w:t>
            </w:r>
          </w:p>
        </w:tc>
        <w:tc>
          <w:tcPr>
            <w:tcW w:w="6870" w:type="dxa"/>
            <w:gridSpan w:val="3"/>
            <w:tcBorders>
              <w:top w:val="single" w:sz="4" w:space="0" w:color="000000"/>
              <w:left w:val="single" w:sz="4" w:space="0" w:color="000000"/>
              <w:bottom w:val="single" w:sz="4" w:space="0" w:color="000000"/>
              <w:right w:val="single" w:sz="4" w:space="0" w:color="000000"/>
            </w:tcBorders>
          </w:tcPr>
          <w:p w:rsidR="00A96878" w:rsidRPr="00A96878" w:rsidRDefault="00C52380" w:rsidP="00D92BC4">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Corporate Services</w:t>
            </w:r>
          </w:p>
        </w:tc>
      </w:tr>
      <w:tr w:rsidR="00A96878" w:rsidTr="00A96878">
        <w:trPr>
          <w:trHeight w:val="313"/>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tcPr>
          <w:p w:rsidR="00A96878" w:rsidRPr="00A96878" w:rsidRDefault="00A96878" w:rsidP="00D92BC4">
            <w:pPr>
              <w:pStyle w:val="TableParagraph"/>
              <w:rPr>
                <w:rFonts w:asciiTheme="minorHAnsi" w:hAnsiTheme="minorHAnsi" w:cstheme="minorHAnsi"/>
                <w:b/>
                <w:sz w:val="24"/>
                <w:lang w:val="en-US" w:eastAsia="en-US"/>
              </w:rPr>
            </w:pPr>
            <w:r>
              <w:rPr>
                <w:rFonts w:asciiTheme="minorHAnsi" w:hAnsiTheme="minorHAnsi" w:cstheme="minorHAnsi"/>
                <w:b/>
                <w:sz w:val="24"/>
                <w:lang w:val="en-US" w:eastAsia="en-US"/>
              </w:rPr>
              <w:t>Responsible Officer</w:t>
            </w:r>
          </w:p>
        </w:tc>
        <w:tc>
          <w:tcPr>
            <w:tcW w:w="6870" w:type="dxa"/>
            <w:gridSpan w:val="3"/>
            <w:tcBorders>
              <w:top w:val="single" w:sz="4" w:space="0" w:color="000000"/>
              <w:left w:val="single" w:sz="4" w:space="0" w:color="000000"/>
              <w:bottom w:val="single" w:sz="4" w:space="0" w:color="000000"/>
              <w:right w:val="single" w:sz="4" w:space="0" w:color="000000"/>
            </w:tcBorders>
          </w:tcPr>
          <w:p w:rsidR="00A96878" w:rsidRPr="00A96878" w:rsidRDefault="00234C51" w:rsidP="00B47FEE">
            <w:pPr>
              <w:pStyle w:val="TableParagraph"/>
              <w:ind w:left="110"/>
              <w:rPr>
                <w:rFonts w:asciiTheme="minorHAnsi" w:hAnsiTheme="minorHAnsi" w:cstheme="minorHAnsi"/>
                <w:sz w:val="24"/>
                <w:lang w:val="en-US" w:eastAsia="en-US"/>
              </w:rPr>
            </w:pPr>
            <w:r>
              <w:rPr>
                <w:rFonts w:asciiTheme="minorHAnsi" w:hAnsiTheme="minorHAnsi" w:cstheme="minorHAnsi"/>
                <w:sz w:val="24"/>
                <w:lang w:val="en-US" w:eastAsia="en-US"/>
              </w:rPr>
              <w:t>Manager Governance, Risk and Procurement</w:t>
            </w:r>
            <w:bookmarkStart w:id="0" w:name="_GoBack"/>
            <w:bookmarkEnd w:id="0"/>
          </w:p>
        </w:tc>
      </w:tr>
      <w:tr w:rsidR="00A96878" w:rsidTr="00A96878">
        <w:trPr>
          <w:trHeight w:val="313"/>
          <w:jc w:val="center"/>
        </w:trPr>
        <w:tc>
          <w:tcPr>
            <w:tcW w:w="3183" w:type="dxa"/>
            <w:tcBorders>
              <w:top w:val="single" w:sz="4" w:space="0" w:color="000000"/>
              <w:left w:val="single" w:sz="4" w:space="0" w:color="000000"/>
              <w:bottom w:val="single" w:sz="4" w:space="0" w:color="000000"/>
              <w:right w:val="single" w:sz="4" w:space="0" w:color="000000"/>
            </w:tcBorders>
            <w:shd w:val="clear" w:color="auto" w:fill="F9EEE8"/>
          </w:tcPr>
          <w:p w:rsidR="00A96878" w:rsidRPr="00A96878" w:rsidRDefault="00A96878" w:rsidP="00D92BC4">
            <w:pPr>
              <w:pStyle w:val="TableParagraph"/>
              <w:rPr>
                <w:rFonts w:asciiTheme="minorHAnsi" w:hAnsiTheme="minorHAnsi" w:cstheme="minorHAnsi"/>
                <w:b/>
                <w:sz w:val="24"/>
                <w:lang w:val="en-US" w:eastAsia="en-US"/>
              </w:rPr>
            </w:pPr>
            <w:r>
              <w:rPr>
                <w:rFonts w:asciiTheme="minorHAnsi" w:hAnsiTheme="minorHAnsi" w:cstheme="minorHAnsi"/>
                <w:b/>
                <w:sz w:val="24"/>
                <w:lang w:val="en-US" w:eastAsia="en-US"/>
              </w:rPr>
              <w:t>File No.</w:t>
            </w:r>
          </w:p>
        </w:tc>
        <w:tc>
          <w:tcPr>
            <w:tcW w:w="6870" w:type="dxa"/>
            <w:gridSpan w:val="3"/>
            <w:tcBorders>
              <w:top w:val="single" w:sz="4" w:space="0" w:color="000000"/>
              <w:left w:val="single" w:sz="4" w:space="0" w:color="000000"/>
              <w:bottom w:val="single" w:sz="4" w:space="0" w:color="000000"/>
              <w:right w:val="single" w:sz="4" w:space="0" w:color="000000"/>
            </w:tcBorders>
          </w:tcPr>
          <w:p w:rsidR="00A96878" w:rsidRPr="00A96878" w:rsidRDefault="00A96878" w:rsidP="00D92BC4">
            <w:pPr>
              <w:pStyle w:val="TableParagraph"/>
              <w:ind w:left="110"/>
              <w:rPr>
                <w:rFonts w:asciiTheme="minorHAnsi" w:hAnsiTheme="minorHAnsi" w:cstheme="minorHAnsi"/>
                <w:sz w:val="24"/>
                <w:lang w:val="en-US" w:eastAsia="en-US"/>
              </w:rPr>
            </w:pPr>
          </w:p>
        </w:tc>
      </w:tr>
    </w:tbl>
    <w:p w:rsidR="00C83A6B" w:rsidRDefault="00C83A6B" w:rsidP="00D454B1">
      <w:pPr>
        <w:pStyle w:val="ShireHeading2"/>
      </w:pPr>
    </w:p>
    <w:p w:rsidR="00354F57" w:rsidRDefault="00354F57" w:rsidP="00354F57">
      <w:pPr>
        <w:pStyle w:val="BodyText"/>
        <w:spacing w:before="193"/>
        <w:ind w:right="855"/>
        <w:jc w:val="both"/>
      </w:pPr>
    </w:p>
    <w:sectPr w:rsidR="00354F57" w:rsidSect="00354F57">
      <w:headerReference w:type="default" r:id="rId7"/>
      <w:pgSz w:w="11906" w:h="16838"/>
      <w:pgMar w:top="1520" w:right="851" w:bottom="90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78" w:rsidRDefault="00A96878" w:rsidP="00A96878">
      <w:pPr>
        <w:spacing w:after="0" w:line="240" w:lineRule="auto"/>
      </w:pPr>
      <w:r>
        <w:separator/>
      </w:r>
    </w:p>
  </w:endnote>
  <w:endnote w:type="continuationSeparator" w:id="0">
    <w:p w:rsidR="00A96878" w:rsidRDefault="00A96878" w:rsidP="00A9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tstream Vera Serif">
    <w:panose1 w:val="02060803050605020204"/>
    <w:charset w:val="00"/>
    <w:family w:val="roman"/>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78" w:rsidRDefault="00A96878" w:rsidP="00A96878">
      <w:pPr>
        <w:spacing w:after="0" w:line="240" w:lineRule="auto"/>
      </w:pPr>
      <w:r>
        <w:separator/>
      </w:r>
    </w:p>
  </w:footnote>
  <w:footnote w:type="continuationSeparator" w:id="0">
    <w:p w:rsidR="00A96878" w:rsidRDefault="00A96878" w:rsidP="00A9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78" w:rsidRDefault="00A96878">
    <w:pPr>
      <w:pStyle w:val="Header"/>
    </w:pPr>
    <w:r>
      <w:rPr>
        <w:noProof/>
        <w:lang w:eastAsia="en-AU"/>
      </w:rPr>
      <w:drawing>
        <wp:anchor distT="0" distB="0" distL="114300" distR="114300" simplePos="0" relativeHeight="251659264" behindDoc="1" locked="0" layoutInCell="1" allowOverlap="1" wp14:anchorId="41CD89E3" wp14:editId="052F94B2">
          <wp:simplePos x="0" y="0"/>
          <wp:positionH relativeFrom="page">
            <wp:posOffset>0</wp:posOffset>
          </wp:positionH>
          <wp:positionV relativeFrom="paragraph">
            <wp:posOffset>-450215</wp:posOffset>
          </wp:positionV>
          <wp:extent cx="7619365" cy="894715"/>
          <wp:effectExtent l="0" t="0" r="635" b="63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Document bann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936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DBD"/>
    <w:multiLevelType w:val="hybridMultilevel"/>
    <w:tmpl w:val="AA0072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9C5011"/>
    <w:multiLevelType w:val="hybridMultilevel"/>
    <w:tmpl w:val="260AD3EC"/>
    <w:lvl w:ilvl="0" w:tplc="0644D4E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3850FF"/>
    <w:multiLevelType w:val="hybridMultilevel"/>
    <w:tmpl w:val="AA0072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B9501C"/>
    <w:multiLevelType w:val="hybridMultilevel"/>
    <w:tmpl w:val="CFE666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ED53B3"/>
    <w:multiLevelType w:val="hybridMultilevel"/>
    <w:tmpl w:val="389053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6A4F8C"/>
    <w:multiLevelType w:val="hybridMultilevel"/>
    <w:tmpl w:val="389053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C6247B"/>
    <w:multiLevelType w:val="hybridMultilevel"/>
    <w:tmpl w:val="389053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F77241"/>
    <w:multiLevelType w:val="hybridMultilevel"/>
    <w:tmpl w:val="B804ED90"/>
    <w:lvl w:ilvl="0" w:tplc="580C29D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5D5A2E"/>
    <w:multiLevelType w:val="hybridMultilevel"/>
    <w:tmpl w:val="AA0072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BF657C"/>
    <w:multiLevelType w:val="hybridMultilevel"/>
    <w:tmpl w:val="389053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776128"/>
    <w:multiLevelType w:val="hybridMultilevel"/>
    <w:tmpl w:val="389053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B6535E"/>
    <w:multiLevelType w:val="hybridMultilevel"/>
    <w:tmpl w:val="163659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2211B1"/>
    <w:multiLevelType w:val="hybridMultilevel"/>
    <w:tmpl w:val="CFE666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3"/>
  </w:num>
  <w:num w:numId="3">
    <w:abstractNumId w:val="9"/>
  </w:num>
  <w:num w:numId="4">
    <w:abstractNumId w:val="7"/>
  </w:num>
  <w:num w:numId="5">
    <w:abstractNumId w:val="6"/>
  </w:num>
  <w:num w:numId="6">
    <w:abstractNumId w:val="4"/>
  </w:num>
  <w:num w:numId="7">
    <w:abstractNumId w:val="5"/>
  </w:num>
  <w:num w:numId="8">
    <w:abstractNumId w:val="10"/>
  </w:num>
  <w:num w:numId="9">
    <w:abstractNumId w:val="11"/>
  </w:num>
  <w:num w:numId="10">
    <w:abstractNumId w:val="1"/>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57"/>
    <w:rsid w:val="00107A31"/>
    <w:rsid w:val="0020113D"/>
    <w:rsid w:val="00234C51"/>
    <w:rsid w:val="0028766C"/>
    <w:rsid w:val="002D3E61"/>
    <w:rsid w:val="002D7009"/>
    <w:rsid w:val="00354F57"/>
    <w:rsid w:val="003A453D"/>
    <w:rsid w:val="004B60D9"/>
    <w:rsid w:val="00647748"/>
    <w:rsid w:val="00847FFD"/>
    <w:rsid w:val="0086292B"/>
    <w:rsid w:val="008C70F7"/>
    <w:rsid w:val="009903EF"/>
    <w:rsid w:val="00A96878"/>
    <w:rsid w:val="00B47FEE"/>
    <w:rsid w:val="00C52380"/>
    <w:rsid w:val="00C83A6B"/>
    <w:rsid w:val="00D454B1"/>
    <w:rsid w:val="00EF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513C"/>
  <w15:chartTrackingRefBased/>
  <w15:docId w15:val="{66FB516E-9D36-41B9-BD05-C18C7953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semiHidden/>
    <w:unhideWhenUsed/>
    <w:qFormat/>
    <w:rsid w:val="00354F57"/>
    <w:pPr>
      <w:widowControl w:val="0"/>
      <w:autoSpaceDE w:val="0"/>
      <w:autoSpaceDN w:val="0"/>
      <w:spacing w:before="92" w:after="0" w:line="240" w:lineRule="auto"/>
      <w:ind w:left="1711" w:hanging="720"/>
      <w:outlineLvl w:val="1"/>
    </w:pPr>
    <w:rPr>
      <w:rFonts w:ascii="Arial" w:eastAsia="Arial" w:hAnsi="Arial" w:cs="Arial"/>
      <w:b/>
      <w:bCs/>
      <w:sz w:val="28"/>
      <w:szCs w:val="28"/>
      <w:lang w:eastAsia="en-AU" w:bidi="en-AU"/>
    </w:rPr>
  </w:style>
  <w:style w:type="paragraph" w:styleId="Heading3">
    <w:name w:val="heading 3"/>
    <w:basedOn w:val="Normal"/>
    <w:next w:val="Normal"/>
    <w:link w:val="Heading3Char"/>
    <w:uiPriority w:val="1"/>
    <w:semiHidden/>
    <w:unhideWhenUsed/>
    <w:qFormat/>
    <w:rsid w:val="00354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354F57"/>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354F57"/>
    <w:pPr>
      <w:widowControl w:val="0"/>
      <w:autoSpaceDE w:val="0"/>
      <w:autoSpaceDN w:val="0"/>
      <w:spacing w:before="26" w:after="0" w:line="240" w:lineRule="auto"/>
      <w:ind w:left="107"/>
    </w:pPr>
    <w:rPr>
      <w:rFonts w:ascii="Arial" w:eastAsia="Arial" w:hAnsi="Arial" w:cs="Arial"/>
      <w:lang w:eastAsia="en-AU" w:bidi="en-AU"/>
    </w:rPr>
  </w:style>
  <w:style w:type="character" w:customStyle="1" w:styleId="Heading3Char">
    <w:name w:val="Heading 3 Char"/>
    <w:basedOn w:val="DefaultParagraphFont"/>
    <w:link w:val="Heading3"/>
    <w:uiPriority w:val="1"/>
    <w:semiHidden/>
    <w:rsid w:val="00354F5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354F57"/>
    <w:pPr>
      <w:widowControl w:val="0"/>
      <w:autoSpaceDE w:val="0"/>
      <w:autoSpaceDN w:val="0"/>
      <w:spacing w:after="0" w:line="240" w:lineRule="auto"/>
    </w:pPr>
    <w:rPr>
      <w:rFonts w:ascii="Arial" w:eastAsia="Arial" w:hAnsi="Arial" w:cs="Arial"/>
      <w:sz w:val="24"/>
      <w:szCs w:val="24"/>
      <w:lang w:eastAsia="en-AU" w:bidi="en-AU"/>
    </w:rPr>
  </w:style>
  <w:style w:type="character" w:customStyle="1" w:styleId="BodyTextChar">
    <w:name w:val="Body Text Char"/>
    <w:basedOn w:val="DefaultParagraphFont"/>
    <w:link w:val="BodyText"/>
    <w:uiPriority w:val="1"/>
    <w:rsid w:val="00354F57"/>
    <w:rPr>
      <w:rFonts w:ascii="Arial" w:eastAsia="Arial" w:hAnsi="Arial" w:cs="Arial"/>
      <w:sz w:val="24"/>
      <w:szCs w:val="24"/>
      <w:lang w:eastAsia="en-AU" w:bidi="en-AU"/>
    </w:rPr>
  </w:style>
  <w:style w:type="table" w:styleId="TableGrid">
    <w:name w:val="Table Grid"/>
    <w:basedOn w:val="TableNormal"/>
    <w:uiPriority w:val="39"/>
    <w:rsid w:val="0035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reHeading2">
    <w:name w:val="Shire Heading 2"/>
    <w:basedOn w:val="Heading3"/>
    <w:link w:val="ShireHeading2Char"/>
    <w:qFormat/>
    <w:rsid w:val="00D454B1"/>
    <w:pPr>
      <w:keepNext w:val="0"/>
      <w:keepLines w:val="0"/>
      <w:widowControl w:val="0"/>
      <w:autoSpaceDE w:val="0"/>
      <w:autoSpaceDN w:val="0"/>
      <w:spacing w:before="192" w:line="240" w:lineRule="auto"/>
      <w:ind w:left="360" w:hanging="360"/>
    </w:pPr>
    <w:rPr>
      <w:rFonts w:asciiTheme="minorHAnsi" w:eastAsia="Arial" w:hAnsiTheme="minorHAnsi" w:cstheme="minorHAnsi"/>
      <w:b/>
      <w:bCs/>
      <w:color w:val="auto"/>
      <w:sz w:val="28"/>
      <w:szCs w:val="28"/>
      <w:lang w:eastAsia="en-AU" w:bidi="en-AU"/>
    </w:rPr>
  </w:style>
  <w:style w:type="paragraph" w:styleId="Header">
    <w:name w:val="header"/>
    <w:basedOn w:val="Normal"/>
    <w:link w:val="HeaderChar"/>
    <w:uiPriority w:val="99"/>
    <w:unhideWhenUsed/>
    <w:rsid w:val="00A96878"/>
    <w:pPr>
      <w:tabs>
        <w:tab w:val="center" w:pos="4513"/>
        <w:tab w:val="right" w:pos="9026"/>
      </w:tabs>
      <w:spacing w:after="0" w:line="240" w:lineRule="auto"/>
    </w:pPr>
  </w:style>
  <w:style w:type="character" w:customStyle="1" w:styleId="ShireHeading2Char">
    <w:name w:val="Shire Heading 2 Char"/>
    <w:basedOn w:val="Heading3Char"/>
    <w:link w:val="ShireHeading2"/>
    <w:rsid w:val="00D454B1"/>
    <w:rPr>
      <w:rFonts w:asciiTheme="majorHAnsi" w:eastAsia="Arial" w:hAnsiTheme="majorHAnsi" w:cstheme="minorHAnsi"/>
      <w:b/>
      <w:bCs/>
      <w:color w:val="1F4D78" w:themeColor="accent1" w:themeShade="7F"/>
      <w:sz w:val="28"/>
      <w:szCs w:val="28"/>
      <w:lang w:eastAsia="en-AU" w:bidi="en-AU"/>
    </w:rPr>
  </w:style>
  <w:style w:type="character" w:customStyle="1" w:styleId="HeaderChar">
    <w:name w:val="Header Char"/>
    <w:basedOn w:val="DefaultParagraphFont"/>
    <w:link w:val="Header"/>
    <w:uiPriority w:val="99"/>
    <w:rsid w:val="00A96878"/>
  </w:style>
  <w:style w:type="paragraph" w:styleId="Footer">
    <w:name w:val="footer"/>
    <w:basedOn w:val="Normal"/>
    <w:link w:val="FooterChar"/>
    <w:uiPriority w:val="99"/>
    <w:unhideWhenUsed/>
    <w:rsid w:val="00A9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78"/>
  </w:style>
  <w:style w:type="paragraph" w:customStyle="1" w:styleId="PolicyTitleHeading">
    <w:name w:val="Policy Title Heading"/>
    <w:basedOn w:val="Heading3"/>
    <w:link w:val="PolicyTitleHeadingChar"/>
    <w:qFormat/>
    <w:rsid w:val="00C52380"/>
    <w:pPr>
      <w:keepLines w:val="0"/>
      <w:spacing w:before="0" w:after="240" w:line="240" w:lineRule="auto"/>
    </w:pPr>
    <w:rPr>
      <w:rFonts w:ascii="Bitstream Vera Serif" w:eastAsia="Times New Roman" w:hAnsi="Bitstream Vera Serif" w:cs="Arial"/>
      <w:b/>
      <w:snapToGrid w:val="0"/>
      <w:color w:val="BE531C"/>
      <w:sz w:val="32"/>
      <w:szCs w:val="32"/>
    </w:rPr>
  </w:style>
  <w:style w:type="character" w:customStyle="1" w:styleId="PolicyTitleHeadingChar">
    <w:name w:val="Policy Title Heading Char"/>
    <w:basedOn w:val="Heading3Char"/>
    <w:link w:val="PolicyTitleHeading"/>
    <w:rsid w:val="00C52380"/>
    <w:rPr>
      <w:rFonts w:ascii="Bitstream Vera Serif" w:eastAsia="Times New Roman" w:hAnsi="Bitstream Vera Serif" w:cs="Arial"/>
      <w:b/>
      <w:snapToGrid w:val="0"/>
      <w:color w:val="BE531C"/>
      <w:sz w:val="32"/>
      <w:szCs w:val="32"/>
    </w:rPr>
  </w:style>
  <w:style w:type="paragraph" w:styleId="ListParagraph">
    <w:name w:val="List Paragraph"/>
    <w:basedOn w:val="Normal"/>
    <w:uiPriority w:val="34"/>
    <w:qFormat/>
    <w:rsid w:val="00B4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2934">
      <w:bodyDiv w:val="1"/>
      <w:marLeft w:val="0"/>
      <w:marRight w:val="0"/>
      <w:marTop w:val="0"/>
      <w:marBottom w:val="0"/>
      <w:divBdr>
        <w:top w:val="none" w:sz="0" w:space="0" w:color="auto"/>
        <w:left w:val="none" w:sz="0" w:space="0" w:color="auto"/>
        <w:bottom w:val="none" w:sz="0" w:space="0" w:color="auto"/>
        <w:right w:val="none" w:sz="0" w:space="0" w:color="auto"/>
      </w:divBdr>
    </w:div>
    <w:div w:id="474101250">
      <w:bodyDiv w:val="1"/>
      <w:marLeft w:val="0"/>
      <w:marRight w:val="0"/>
      <w:marTop w:val="0"/>
      <w:marBottom w:val="0"/>
      <w:divBdr>
        <w:top w:val="none" w:sz="0" w:space="0" w:color="auto"/>
        <w:left w:val="none" w:sz="0" w:space="0" w:color="auto"/>
        <w:bottom w:val="none" w:sz="0" w:space="0" w:color="auto"/>
        <w:right w:val="none" w:sz="0" w:space="0" w:color="auto"/>
      </w:divBdr>
    </w:div>
    <w:div w:id="603849999">
      <w:bodyDiv w:val="1"/>
      <w:marLeft w:val="0"/>
      <w:marRight w:val="0"/>
      <w:marTop w:val="0"/>
      <w:marBottom w:val="0"/>
      <w:divBdr>
        <w:top w:val="none" w:sz="0" w:space="0" w:color="auto"/>
        <w:left w:val="none" w:sz="0" w:space="0" w:color="auto"/>
        <w:bottom w:val="none" w:sz="0" w:space="0" w:color="auto"/>
        <w:right w:val="none" w:sz="0" w:space="0" w:color="auto"/>
      </w:divBdr>
    </w:div>
    <w:div w:id="612517059">
      <w:bodyDiv w:val="1"/>
      <w:marLeft w:val="0"/>
      <w:marRight w:val="0"/>
      <w:marTop w:val="0"/>
      <w:marBottom w:val="0"/>
      <w:divBdr>
        <w:top w:val="none" w:sz="0" w:space="0" w:color="auto"/>
        <w:left w:val="none" w:sz="0" w:space="0" w:color="auto"/>
        <w:bottom w:val="none" w:sz="0" w:space="0" w:color="auto"/>
        <w:right w:val="none" w:sz="0" w:space="0" w:color="auto"/>
      </w:divBdr>
    </w:div>
    <w:div w:id="678699082">
      <w:bodyDiv w:val="1"/>
      <w:marLeft w:val="0"/>
      <w:marRight w:val="0"/>
      <w:marTop w:val="0"/>
      <w:marBottom w:val="0"/>
      <w:divBdr>
        <w:top w:val="none" w:sz="0" w:space="0" w:color="auto"/>
        <w:left w:val="none" w:sz="0" w:space="0" w:color="auto"/>
        <w:bottom w:val="none" w:sz="0" w:space="0" w:color="auto"/>
        <w:right w:val="none" w:sz="0" w:space="0" w:color="auto"/>
      </w:divBdr>
    </w:div>
    <w:div w:id="919873165">
      <w:bodyDiv w:val="1"/>
      <w:marLeft w:val="0"/>
      <w:marRight w:val="0"/>
      <w:marTop w:val="0"/>
      <w:marBottom w:val="0"/>
      <w:divBdr>
        <w:top w:val="none" w:sz="0" w:space="0" w:color="auto"/>
        <w:left w:val="none" w:sz="0" w:space="0" w:color="auto"/>
        <w:bottom w:val="none" w:sz="0" w:space="0" w:color="auto"/>
        <w:right w:val="none" w:sz="0" w:space="0" w:color="auto"/>
      </w:divBdr>
    </w:div>
    <w:div w:id="930042651">
      <w:bodyDiv w:val="1"/>
      <w:marLeft w:val="0"/>
      <w:marRight w:val="0"/>
      <w:marTop w:val="0"/>
      <w:marBottom w:val="0"/>
      <w:divBdr>
        <w:top w:val="none" w:sz="0" w:space="0" w:color="auto"/>
        <w:left w:val="none" w:sz="0" w:space="0" w:color="auto"/>
        <w:bottom w:val="none" w:sz="0" w:space="0" w:color="auto"/>
        <w:right w:val="none" w:sz="0" w:space="0" w:color="auto"/>
      </w:divBdr>
    </w:div>
    <w:div w:id="14682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Brown</dc:creator>
  <cp:keywords/>
  <dc:description/>
  <cp:lastModifiedBy>Joshua Brown</cp:lastModifiedBy>
  <cp:revision>13</cp:revision>
  <dcterms:created xsi:type="dcterms:W3CDTF">2022-06-28T01:51:00Z</dcterms:created>
  <dcterms:modified xsi:type="dcterms:W3CDTF">2022-10-07T02:24:00Z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